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24C" w:rsidRPr="00C25698" w:rsidRDefault="008D024C" w:rsidP="008D024C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25698">
        <w:rPr>
          <w:rFonts w:ascii="Times New Roman" w:hAnsi="Times New Roman"/>
          <w:b/>
        </w:rPr>
        <w:t xml:space="preserve">СРАВНИТЕЛЬНАЯ ТАБЛИЦА </w:t>
      </w:r>
    </w:p>
    <w:p w:rsidR="00296C26" w:rsidRPr="00C25698" w:rsidRDefault="008D024C" w:rsidP="008D024C">
      <w:pPr>
        <w:pStyle w:val="a4"/>
        <w:spacing w:after="0" w:line="240" w:lineRule="auto"/>
        <w:ind w:left="0" w:firstLine="426"/>
        <w:jc w:val="center"/>
        <w:rPr>
          <w:rFonts w:eastAsia="Times New Roman"/>
          <w:bCs/>
        </w:rPr>
      </w:pPr>
      <w:r w:rsidRPr="00C25698">
        <w:rPr>
          <w:rFonts w:ascii="Times New Roman" w:hAnsi="Times New Roman"/>
          <w:b/>
        </w:rPr>
        <w:t>к проекту Закона Кыргызской Республики «О внесении изменений в Налоговый кодекс Кыргызской Республики»</w:t>
      </w:r>
      <w:r w:rsidR="00296C26" w:rsidRPr="00C25698">
        <w:rPr>
          <w:rFonts w:eastAsia="Times New Roman"/>
          <w:bCs/>
        </w:rPr>
        <w:t xml:space="preserve"> </w:t>
      </w:r>
    </w:p>
    <w:p w:rsidR="00296C26" w:rsidRPr="00C25698" w:rsidRDefault="00296C26" w:rsidP="008D024C">
      <w:pPr>
        <w:pStyle w:val="a4"/>
        <w:spacing w:after="0" w:line="240" w:lineRule="auto"/>
        <w:ind w:left="0" w:firstLine="426"/>
        <w:jc w:val="center"/>
        <w:rPr>
          <w:rFonts w:ascii="Times New Roman" w:hAnsi="Times New Roman"/>
          <w:b/>
        </w:rPr>
      </w:pPr>
      <w:r w:rsidRPr="00C25698">
        <w:rPr>
          <w:rFonts w:ascii="Times New Roman" w:eastAsia="Times New Roman" w:hAnsi="Times New Roman"/>
          <w:b/>
          <w:bCs/>
        </w:rPr>
        <w:t xml:space="preserve">(ППКР от 23 января 2020 года №24, </w:t>
      </w:r>
      <w:r w:rsidRPr="00C25698">
        <w:rPr>
          <w:rFonts w:ascii="Times New Roman" w:hAnsi="Times New Roman"/>
          <w:b/>
        </w:rPr>
        <w:t>вх.№ 6-1336/20 от 27.01.2020 г.)</w:t>
      </w:r>
    </w:p>
    <w:p w:rsidR="00296C26" w:rsidRPr="00C25698" w:rsidRDefault="00296C26" w:rsidP="008D024C">
      <w:pPr>
        <w:pStyle w:val="a4"/>
        <w:spacing w:after="0" w:line="240" w:lineRule="auto"/>
        <w:ind w:left="0" w:firstLine="426"/>
        <w:jc w:val="center"/>
        <w:rPr>
          <w:rFonts w:ascii="Times New Roman" w:hAnsi="Times New Roman"/>
          <w:b/>
        </w:rPr>
      </w:pPr>
    </w:p>
    <w:p w:rsidR="008D024C" w:rsidRPr="00C25698" w:rsidRDefault="00296C26" w:rsidP="00296C26">
      <w:pPr>
        <w:pStyle w:val="a4"/>
        <w:spacing w:after="0" w:line="240" w:lineRule="auto"/>
        <w:ind w:left="0" w:firstLine="426"/>
        <w:jc w:val="right"/>
        <w:rPr>
          <w:rFonts w:ascii="Times New Roman" w:hAnsi="Times New Roman"/>
          <w:b/>
        </w:rPr>
      </w:pPr>
      <w:r w:rsidRPr="00C25698">
        <w:rPr>
          <w:rFonts w:ascii="Times New Roman" w:hAnsi="Times New Roman"/>
          <w:b/>
        </w:rPr>
        <w:t xml:space="preserve">На второе чтение </w:t>
      </w:r>
    </w:p>
    <w:tbl>
      <w:tblPr>
        <w:tblStyle w:val="a3"/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946"/>
        <w:gridCol w:w="1985"/>
        <w:gridCol w:w="6520"/>
      </w:tblGrid>
      <w:tr w:rsidR="00E577A7" w:rsidRPr="00C25698" w:rsidTr="00E577A7">
        <w:tc>
          <w:tcPr>
            <w:tcW w:w="6946" w:type="dxa"/>
          </w:tcPr>
          <w:p w:rsidR="00E577A7" w:rsidRPr="00C25698" w:rsidRDefault="00E577A7" w:rsidP="0012100C">
            <w:pPr>
              <w:ind w:firstLine="317"/>
              <w:jc w:val="center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hAnsi="Times New Roman" w:cs="Times New Roman"/>
                <w:b/>
              </w:rPr>
              <w:t>Предлагаемая редакция</w:t>
            </w:r>
          </w:p>
        </w:tc>
        <w:tc>
          <w:tcPr>
            <w:tcW w:w="1985" w:type="dxa"/>
          </w:tcPr>
          <w:p w:rsidR="00E577A7" w:rsidRPr="00C25698" w:rsidRDefault="00981F53" w:rsidP="00981F53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hAnsi="Times New Roman" w:cs="Times New Roman"/>
                <w:b/>
              </w:rPr>
              <w:t>Поступившие предложения</w:t>
            </w:r>
          </w:p>
        </w:tc>
        <w:tc>
          <w:tcPr>
            <w:tcW w:w="6520" w:type="dxa"/>
          </w:tcPr>
          <w:p w:rsidR="00E577A7" w:rsidRPr="00C25698" w:rsidRDefault="00981F53" w:rsidP="00296C26">
            <w:pPr>
              <w:ind w:firstLine="317"/>
              <w:jc w:val="center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hAnsi="Times New Roman" w:cs="Times New Roman"/>
                <w:b/>
              </w:rPr>
              <w:t>Р</w:t>
            </w:r>
            <w:r w:rsidR="00E577A7" w:rsidRPr="00C25698">
              <w:rPr>
                <w:rFonts w:ascii="Times New Roman" w:hAnsi="Times New Roman" w:cs="Times New Roman"/>
                <w:b/>
              </w:rPr>
              <w:t>едакция</w:t>
            </w:r>
            <w:r w:rsidRPr="00C25698">
              <w:rPr>
                <w:rFonts w:ascii="Times New Roman" w:hAnsi="Times New Roman" w:cs="Times New Roman"/>
                <w:b/>
              </w:rPr>
              <w:t xml:space="preserve"> доработанная </w:t>
            </w:r>
            <w:r w:rsidR="00296C26" w:rsidRPr="00C25698">
              <w:rPr>
                <w:rFonts w:ascii="Times New Roman" w:hAnsi="Times New Roman" w:cs="Times New Roman"/>
                <w:b/>
              </w:rPr>
              <w:t>К</w:t>
            </w:r>
            <w:r w:rsidRPr="00C25698">
              <w:rPr>
                <w:rFonts w:ascii="Times New Roman" w:hAnsi="Times New Roman" w:cs="Times New Roman"/>
                <w:b/>
              </w:rPr>
              <w:t>омитетом</w:t>
            </w:r>
            <w:r w:rsidR="00296C26" w:rsidRPr="00C25698">
              <w:rPr>
                <w:rFonts w:ascii="Times New Roman" w:hAnsi="Times New Roman" w:cs="Times New Roman"/>
                <w:b/>
              </w:rPr>
              <w:t xml:space="preserve"> по экономической и фискальной политике на второе чтение</w:t>
            </w:r>
          </w:p>
        </w:tc>
      </w:tr>
      <w:tr w:rsidR="00E577A7" w:rsidRPr="00C25698" w:rsidTr="00E577A7">
        <w:tc>
          <w:tcPr>
            <w:tcW w:w="6946" w:type="dxa"/>
          </w:tcPr>
          <w:p w:rsidR="00E577A7" w:rsidRPr="00C25698" w:rsidRDefault="00E577A7" w:rsidP="0012100C">
            <w:pPr>
              <w:ind w:firstLine="319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Статья 221</w:t>
            </w:r>
            <w:r w:rsidRPr="00C2569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1</w:t>
            </w: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. Особенности налогообложения горнодобывающих и/или горноперерабатывающих предприятий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 xml:space="preserve">1. Налогоплательщик, осуществляющий деятельность по добыче и реализации золотосодержащей руды, золотосодержащего концентрата, золотого сплава и аффинированного золота, уплачивает налог на </w:t>
            </w:r>
            <w:r w:rsidRPr="00C25698">
              <w:rPr>
                <w:rFonts w:ascii="Times New Roman" w:eastAsia="Times New Roman" w:hAnsi="Times New Roman" w:cs="Times New Roman"/>
              </w:rPr>
              <w:br/>
              <w:t>доходы.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 xml:space="preserve">2. Объектом налогообложения налогом на доходы является </w:t>
            </w:r>
            <w:r w:rsidRPr="00C25698">
              <w:rPr>
                <w:rFonts w:ascii="Times New Roman" w:eastAsia="Times New Roman" w:hAnsi="Times New Roman" w:cs="Times New Roman"/>
              </w:rPr>
              <w:br/>
              <w:t>деятельность по добыче и реализации золотосодержащей руды, золотосодержащего концентрата, золотого сплава и аффинированного золота.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3. Налоговой базой налога на доходы является: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1) выручка без учета НДС и налога с продаж, полученная от реализации золотого сплава и/или аффинированного золота;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2) стоимость золота в золотосодержащей руде и золотосодержащем концентрате, исчисленная исходя из мировых цен, в порядке, установленном Правительством Кыргызской Республики.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  <w:b/>
              </w:rPr>
              <w:t>4.Ставка налога на доходы устанавливается в следующих размерах: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  <w:b/>
              </w:rPr>
              <w:t>1) на золотосодержащую руду и золотосодержащий концентрат: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tbl>
            <w:tblPr>
              <w:tblW w:w="66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9"/>
              <w:gridCol w:w="285"/>
              <w:gridCol w:w="524"/>
              <w:gridCol w:w="469"/>
              <w:gridCol w:w="420"/>
              <w:gridCol w:w="426"/>
              <w:gridCol w:w="426"/>
              <w:gridCol w:w="426"/>
              <w:gridCol w:w="426"/>
              <w:gridCol w:w="426"/>
              <w:gridCol w:w="426"/>
              <w:gridCol w:w="426"/>
              <w:gridCol w:w="426"/>
              <w:gridCol w:w="426"/>
              <w:gridCol w:w="420"/>
            </w:tblGrid>
            <w:tr w:rsidR="00673880" w:rsidRPr="00C25698" w:rsidTr="00673880">
              <w:trPr>
                <w:trHeight w:val="20"/>
              </w:trPr>
              <w:tc>
                <w:tcPr>
                  <w:tcW w:w="55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80" w:right="-10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 xml:space="preserve">Цена золота за одну тройскую унцию в долларах </w:t>
                  </w: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США</w:t>
                  </w:r>
                </w:p>
              </w:tc>
              <w:tc>
                <w:tcPr>
                  <w:tcW w:w="21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-819"/>
                    </w:tabs>
                    <w:spacing w:after="0" w:line="240" w:lineRule="auto"/>
                    <w:ind w:left="-109" w:righ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до 1300</w:t>
                  </w:r>
                </w:p>
              </w:tc>
              <w:tc>
                <w:tcPr>
                  <w:tcW w:w="39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1301 по 1400</w:t>
                  </w:r>
                </w:p>
              </w:tc>
              <w:tc>
                <w:tcPr>
                  <w:tcW w:w="35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right="-10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1401 по 1500</w:t>
                  </w:r>
                </w:p>
              </w:tc>
              <w:tc>
                <w:tcPr>
                  <w:tcW w:w="31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1134"/>
                    </w:tabs>
                    <w:spacing w:after="0" w:line="240" w:lineRule="auto"/>
                    <w:ind w:left="-107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1501 по 1600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1134"/>
                    </w:tabs>
                    <w:spacing w:after="0" w:line="240" w:lineRule="auto"/>
                    <w:ind w:left="-110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1601 по 1700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-3086"/>
                    </w:tabs>
                    <w:spacing w:after="0" w:line="240" w:lineRule="auto"/>
                    <w:ind w:left="-107" w:right="-10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1701 по 1800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1134"/>
                    </w:tabs>
                    <w:spacing w:after="0" w:line="240" w:lineRule="auto"/>
                    <w:ind w:left="-107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1801 по 1900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-3369"/>
                    </w:tabs>
                    <w:spacing w:after="0" w:line="240" w:lineRule="auto"/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1901 по 2000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E577A7">
                  <w:pPr>
                    <w:tabs>
                      <w:tab w:val="left" w:pos="1134"/>
                    </w:tabs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2001 по 2100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2101 по 2200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08" w:right="-10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2201 по 2300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07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2301 по 2400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-5920"/>
                    </w:tabs>
                    <w:spacing w:after="0" w:line="240" w:lineRule="auto"/>
                    <w:ind w:left="-108" w:right="-10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2401 по 2500</w:t>
                  </w:r>
                </w:p>
              </w:tc>
              <w:tc>
                <w:tcPr>
                  <w:tcW w:w="3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-5778"/>
                    </w:tabs>
                    <w:spacing w:after="0" w:line="240" w:lineRule="auto"/>
                    <w:ind w:lef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2501 и выше</w:t>
                  </w:r>
                </w:p>
              </w:tc>
            </w:tr>
            <w:tr w:rsidR="00673880" w:rsidRPr="00C25698" w:rsidTr="00673880">
              <w:trPr>
                <w:trHeight w:val="20"/>
              </w:trPr>
              <w:tc>
                <w:tcPr>
                  <w:tcW w:w="55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Ставка налога на доход, в %</w:t>
                  </w:r>
                </w:p>
              </w:tc>
              <w:tc>
                <w:tcPr>
                  <w:tcW w:w="21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39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35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31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16" w:right="-9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18" w:right="-10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12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15" w:right="-1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14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14" w:right="-10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16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left="-116" w:right="-1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17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right="-10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18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19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08" w:right="-10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20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21</w:t>
                  </w:r>
                </w:p>
              </w:tc>
              <w:tc>
                <w:tcPr>
                  <w:tcW w:w="31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053B10">
                  <w:pPr>
                    <w:tabs>
                      <w:tab w:val="left" w:pos="1134"/>
                    </w:tabs>
                    <w:spacing w:after="0" w:line="240" w:lineRule="auto"/>
                    <w:ind w:righ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22</w:t>
                  </w:r>
                </w:p>
              </w:tc>
              <w:tc>
                <w:tcPr>
                  <w:tcW w:w="3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1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23</w:t>
                  </w:r>
                </w:p>
              </w:tc>
            </w:tr>
          </w:tbl>
          <w:p w:rsidR="00E577A7" w:rsidRPr="00C25698" w:rsidRDefault="00E577A7" w:rsidP="0012100C">
            <w:pPr>
              <w:pStyle w:val="a4"/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b/>
              </w:rPr>
            </w:pPr>
            <w:r w:rsidRPr="00C25698">
              <w:rPr>
                <w:rFonts w:ascii="Times New Roman" w:hAnsi="Times New Roman"/>
                <w:b/>
              </w:rPr>
              <w:t>2) на золотой сплав и аффинированное золото:</w:t>
            </w:r>
          </w:p>
          <w:tbl>
            <w:tblPr>
              <w:tblW w:w="68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2"/>
              <w:gridCol w:w="418"/>
              <w:gridCol w:w="418"/>
              <w:gridCol w:w="418"/>
              <w:gridCol w:w="418"/>
              <w:gridCol w:w="418"/>
              <w:gridCol w:w="417"/>
              <w:gridCol w:w="417"/>
              <w:gridCol w:w="417"/>
              <w:gridCol w:w="417"/>
              <w:gridCol w:w="417"/>
              <w:gridCol w:w="413"/>
              <w:gridCol w:w="413"/>
              <w:gridCol w:w="463"/>
              <w:gridCol w:w="567"/>
            </w:tblGrid>
            <w:tr w:rsidR="00E577A7" w:rsidRPr="00C25698" w:rsidTr="00633FE5">
              <w:tc>
                <w:tcPr>
                  <w:tcW w:w="58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Цена золота за одну тройскую унцию в долларах США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71" w:right="-5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до 1300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63" w:right="-6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1301 по 1400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-1715"/>
                      <w:tab w:val="left" w:pos="1134"/>
                    </w:tabs>
                    <w:spacing w:after="0" w:line="240" w:lineRule="auto"/>
                    <w:ind w:left="-155" w:right="-7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1401 по 1500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46" w:right="-7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1501 по 1600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38" w:right="-8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1601 по 1700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30" w:right="-94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1701 по 1800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22" w:right="-10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1801 по 1900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13" w:right="-11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1901 по 2000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105" w:right="-11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2001 по 2100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97" w:right="-12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2101 по 2200</w:t>
                  </w:r>
                </w:p>
              </w:tc>
              <w:tc>
                <w:tcPr>
                  <w:tcW w:w="30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89" w:right="-13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2201 по 2300</w:t>
                  </w:r>
                </w:p>
              </w:tc>
              <w:tc>
                <w:tcPr>
                  <w:tcW w:w="30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77" w:right="-15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2301 по 2400</w:t>
                  </w:r>
                </w:p>
              </w:tc>
              <w:tc>
                <w:tcPr>
                  <w:tcW w:w="33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66" w:right="-6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2401 по 2500</w:t>
                  </w:r>
                </w:p>
              </w:tc>
              <w:tc>
                <w:tcPr>
                  <w:tcW w:w="4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lef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2501 и выше</w:t>
                  </w:r>
                </w:p>
              </w:tc>
            </w:tr>
            <w:tr w:rsidR="00E577A7" w:rsidRPr="00C25698" w:rsidTr="00633FE5">
              <w:tc>
                <w:tcPr>
                  <w:tcW w:w="58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Ставка налога на доход,в %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73880">
                  <w:pPr>
                    <w:tabs>
                      <w:tab w:val="left" w:pos="1134"/>
                    </w:tabs>
                    <w:spacing w:after="0" w:line="240" w:lineRule="auto"/>
                    <w:ind w:left="-171" w:right="-5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0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8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9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13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105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14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11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15</w:t>
                  </w:r>
                </w:p>
              </w:tc>
              <w:tc>
                <w:tcPr>
                  <w:tcW w:w="30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12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16</w:t>
                  </w:r>
                </w:p>
              </w:tc>
              <w:tc>
                <w:tcPr>
                  <w:tcW w:w="30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134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17</w:t>
                  </w:r>
                </w:p>
              </w:tc>
              <w:tc>
                <w:tcPr>
                  <w:tcW w:w="30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633FE5">
                  <w:pPr>
                    <w:tabs>
                      <w:tab w:val="left" w:pos="1134"/>
                    </w:tabs>
                    <w:spacing w:after="0" w:line="240" w:lineRule="auto"/>
                    <w:ind w:right="-14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18</w:t>
                  </w:r>
                </w:p>
              </w:tc>
              <w:tc>
                <w:tcPr>
                  <w:tcW w:w="33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19</w:t>
                  </w:r>
                </w:p>
              </w:tc>
              <w:tc>
                <w:tcPr>
                  <w:tcW w:w="4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20</w:t>
                  </w:r>
                </w:p>
              </w:tc>
            </w:tr>
          </w:tbl>
          <w:p w:rsidR="00E577A7" w:rsidRPr="00C25698" w:rsidRDefault="00E577A7" w:rsidP="0012100C">
            <w:pPr>
              <w:ind w:firstLine="317"/>
              <w:jc w:val="both"/>
              <w:rPr>
                <w:rFonts w:ascii="Times New Roman" w:hAnsi="Times New Roman" w:cs="Times New Roman"/>
              </w:rPr>
            </w:pP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5. Налоговым периодом налога на доходы является календарный месяц.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6. Исчисление налога на доходы производится в соответствии с порядком, установленным частью 1 статьи 37 настоящего Кодекса.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7. Налогоплательщик, указанный в части 1 настоящей статьи, обязан представлять налоговую отчетность и производить уплату налога на доходы не позднее 20 числа месяца, следующего за отчетным периодом, по месту учетной регистрации. В случае отсутствия учетной регистрации налог на доходы уплачивается по месту налоговой регистрации.</w:t>
            </w:r>
          </w:p>
        </w:tc>
        <w:tc>
          <w:tcPr>
            <w:tcW w:w="1985" w:type="dxa"/>
          </w:tcPr>
          <w:p w:rsidR="00B07BB3" w:rsidRPr="00C25698" w:rsidRDefault="00604915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  <w:color w:val="000000"/>
              </w:rPr>
              <w:lastRenderedPageBreak/>
              <w:t xml:space="preserve">Депутат Д. Бекешев </w:t>
            </w:r>
            <w:r w:rsidRPr="00C25698">
              <w:rPr>
                <w:rFonts w:ascii="Times New Roman" w:hAnsi="Times New Roman" w:cs="Times New Roman"/>
              </w:rPr>
              <w:t>в части 4 статьи 221-1 законопроекта:- ставку налога на доход от золотосодержащей руды и золотосодержащего концентрата увеличить на 10% и ставку налога на доход от золотого сплава и аффинированного золота увеличить на 3%</w:t>
            </w:r>
          </w:p>
          <w:p w:rsidR="00604915" w:rsidRPr="00C25698" w:rsidRDefault="00604915" w:rsidP="00604915">
            <w:pPr>
              <w:spacing w:before="120"/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Принято</w:t>
            </w:r>
            <w:r w:rsidR="00FA6204" w:rsidRPr="00C25698">
              <w:rPr>
                <w:rFonts w:ascii="Times New Roman" w:hAnsi="Times New Roman" w:cs="Times New Roman"/>
                <w:b/>
                <w:i/>
              </w:rPr>
              <w:t xml:space="preserve"> частично</w:t>
            </w:r>
          </w:p>
          <w:p w:rsidR="00B07BB3" w:rsidRPr="00C25698" w:rsidRDefault="00B07BB3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</w:p>
          <w:p w:rsidR="00B07BB3" w:rsidRPr="00C25698" w:rsidRDefault="00604915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  <w:color w:val="000000"/>
              </w:rPr>
              <w:t xml:space="preserve">депутаты </w:t>
            </w:r>
            <w:r w:rsidRPr="00C25698">
              <w:rPr>
                <w:rFonts w:ascii="Times New Roman" w:hAnsi="Times New Roman" w:cs="Times New Roman"/>
              </w:rPr>
              <w:t xml:space="preserve">Г.Асылбаева и С.Айдаров увеличить действующую ставку налога на доход от золотосодержащей руды и золотосодержащего концентрата  </w:t>
            </w:r>
            <w:r w:rsidRPr="00C25698">
              <w:rPr>
                <w:rFonts w:ascii="Times New Roman" w:hAnsi="Times New Roman" w:cs="Times New Roman"/>
              </w:rPr>
              <w:lastRenderedPageBreak/>
              <w:t>поэтапно, на 3 процента на 2020-2021 годы, на пять процентов на 2022-2023 годы и на 7 процентов с 2024 года</w:t>
            </w:r>
          </w:p>
          <w:p w:rsidR="00B07BB3" w:rsidRPr="00C25698" w:rsidRDefault="00FA6204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Н</w:t>
            </w:r>
            <w:r w:rsidR="00604915" w:rsidRPr="00C25698">
              <w:rPr>
                <w:rFonts w:ascii="Times New Roman" w:hAnsi="Times New Roman" w:cs="Times New Roman"/>
                <w:b/>
                <w:i/>
              </w:rPr>
              <w:t>е принято</w:t>
            </w:r>
          </w:p>
          <w:p w:rsidR="00B07BB3" w:rsidRPr="00C25698" w:rsidRDefault="00B07BB3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</w:p>
          <w:p w:rsidR="00B07BB3" w:rsidRPr="00C25698" w:rsidRDefault="00604915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</w:rPr>
              <w:t>Предложение Правительства по увеличению ставки налога на доход от реализации золотосодержащих руд и концентратов на 7%, с предложением установления данной ставки в отношении доходов на золотой сплав и аффинированное золото</w:t>
            </w:r>
          </w:p>
          <w:p w:rsidR="00604915" w:rsidRPr="00C25698" w:rsidRDefault="00604915" w:rsidP="00604915">
            <w:pPr>
              <w:spacing w:before="120"/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Принято</w:t>
            </w:r>
            <w:r w:rsidR="00FA6204" w:rsidRPr="00C25698">
              <w:rPr>
                <w:rFonts w:ascii="Times New Roman" w:hAnsi="Times New Roman" w:cs="Times New Roman"/>
                <w:b/>
                <w:i/>
              </w:rPr>
              <w:t xml:space="preserve"> частично</w:t>
            </w:r>
          </w:p>
          <w:p w:rsidR="008A37CD" w:rsidRPr="00C25698" w:rsidRDefault="008A37CD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</w:p>
          <w:p w:rsidR="00E577A7" w:rsidRPr="00C25698" w:rsidRDefault="00981F53" w:rsidP="00B07BB3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</w:rPr>
              <w:t>Комитет по топливно-энергетическому комплексу и недропользованию</w:t>
            </w:r>
            <w:r w:rsidR="00B06AF0" w:rsidRPr="00C25698">
              <w:rPr>
                <w:rFonts w:ascii="Times New Roman" w:hAnsi="Times New Roman" w:cs="Times New Roman"/>
              </w:rPr>
              <w:t xml:space="preserve"> и депутат А.Алтыбаева</w:t>
            </w:r>
            <w:r w:rsidR="009336A4" w:rsidRPr="00C25698">
              <w:rPr>
                <w:rFonts w:ascii="Times New Roman" w:hAnsi="Times New Roman" w:cs="Times New Roman"/>
              </w:rPr>
              <w:t>:</w:t>
            </w:r>
          </w:p>
          <w:p w:rsidR="009336A4" w:rsidRPr="00C25698" w:rsidRDefault="009336A4" w:rsidP="00142F30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  <w:lang w:val="ky-KG"/>
              </w:rPr>
              <w:t xml:space="preserve">- увеличить </w:t>
            </w:r>
            <w:r w:rsidRPr="00C25698">
              <w:rPr>
                <w:rFonts w:ascii="Times New Roman" w:hAnsi="Times New Roman" w:cs="Times New Roman"/>
              </w:rPr>
              <w:lastRenderedPageBreak/>
              <w:t>ставки налога на доход горнодобывающих и горноперерабатывающих предприятий на 7 %.</w:t>
            </w:r>
          </w:p>
          <w:p w:rsidR="0010574A" w:rsidRPr="00C25698" w:rsidRDefault="0010574A" w:rsidP="00142F30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Принят</w:t>
            </w:r>
            <w:r w:rsidR="00DC26CD" w:rsidRPr="00C25698">
              <w:rPr>
                <w:rFonts w:ascii="Times New Roman" w:hAnsi="Times New Roman" w:cs="Times New Roman"/>
                <w:b/>
                <w:i/>
              </w:rPr>
              <w:t>о</w:t>
            </w:r>
          </w:p>
          <w:p w:rsidR="00142F30" w:rsidRPr="00C25698" w:rsidRDefault="00142F30" w:rsidP="00142F30">
            <w:pPr>
              <w:ind w:firstLine="34"/>
              <w:jc w:val="both"/>
              <w:rPr>
                <w:rFonts w:ascii="Times New Roman" w:hAnsi="Times New Roman" w:cs="Times New Roman"/>
              </w:rPr>
            </w:pPr>
          </w:p>
          <w:p w:rsidR="00324F90" w:rsidRPr="00C25698" w:rsidRDefault="00B27F00" w:rsidP="00142F30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</w:rPr>
              <w:t>Д</w:t>
            </w:r>
            <w:r w:rsidR="00324F90" w:rsidRPr="00C25698">
              <w:rPr>
                <w:rFonts w:ascii="Times New Roman" w:hAnsi="Times New Roman" w:cs="Times New Roman"/>
              </w:rPr>
              <w:t xml:space="preserve">епутат </w:t>
            </w:r>
            <w:r w:rsidRPr="00C25698">
              <w:rPr>
                <w:rFonts w:ascii="Times New Roman" w:hAnsi="Times New Roman" w:cs="Times New Roman"/>
              </w:rPr>
              <w:t>А.</w:t>
            </w:r>
            <w:r w:rsidR="00324F90" w:rsidRPr="00C25698">
              <w:rPr>
                <w:rFonts w:ascii="Times New Roman" w:hAnsi="Times New Roman" w:cs="Times New Roman"/>
                <w:lang w:val="ky-KG"/>
              </w:rPr>
              <w:t>Мамашов</w:t>
            </w:r>
            <w:r w:rsidRPr="00C25698">
              <w:rPr>
                <w:rFonts w:ascii="Times New Roman" w:hAnsi="Times New Roman" w:cs="Times New Roman"/>
                <w:lang w:val="ky-KG"/>
              </w:rPr>
              <w:t xml:space="preserve">а: </w:t>
            </w:r>
            <w:r w:rsidR="00324F90" w:rsidRPr="00C25698">
              <w:rPr>
                <w:rFonts w:ascii="Times New Roman" w:hAnsi="Times New Roman" w:cs="Times New Roman"/>
                <w:lang w:val="ky-KG"/>
              </w:rPr>
              <w:t>увеличить ставку налога на доход горнодобывающих и горноперерабатывающих предприятий и установить в размере 10%</w:t>
            </w:r>
          </w:p>
          <w:p w:rsidR="00B27F00" w:rsidRPr="00C25698" w:rsidRDefault="00B27F00" w:rsidP="00142F30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Принято</w:t>
            </w:r>
          </w:p>
          <w:p w:rsidR="00324F90" w:rsidRPr="00C25698" w:rsidRDefault="00324F90" w:rsidP="00142F30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D36377" w:rsidRPr="00C25698" w:rsidRDefault="00D36377" w:rsidP="00142F30">
            <w:pPr>
              <w:ind w:firstLine="34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Calibri" w:hAnsi="Times New Roman" w:cs="Times New Roman"/>
              </w:rPr>
              <w:t>Комитет по бюджету и финанса</w:t>
            </w:r>
            <w:r w:rsidR="00F50777" w:rsidRPr="00C25698">
              <w:rPr>
                <w:rFonts w:ascii="Times New Roman" w:eastAsia="Calibri" w:hAnsi="Times New Roman" w:cs="Times New Roman"/>
              </w:rPr>
              <w:t xml:space="preserve">м: </w:t>
            </w:r>
            <w:r w:rsidRPr="00C25698">
              <w:rPr>
                <w:rFonts w:ascii="Times New Roman" w:eastAsia="Calibri" w:hAnsi="Times New Roman" w:cs="Times New Roman"/>
              </w:rPr>
              <w:t>о повышении налоговой ставки налога на доход горнодобыва</w:t>
            </w:r>
            <w:r w:rsidRPr="00C25698">
              <w:rPr>
                <w:rFonts w:ascii="Times New Roman" w:eastAsia="Times New Roman" w:hAnsi="Times New Roman" w:cs="Times New Roman"/>
              </w:rPr>
              <w:t>ющих и горноперерабатывающих предприятий через 5 лет - до 5  %, через 10 лет – на 10 %.</w:t>
            </w:r>
          </w:p>
          <w:p w:rsidR="009336A4" w:rsidRPr="00C25698" w:rsidRDefault="00CD7F22" w:rsidP="00C25698">
            <w:pPr>
              <w:ind w:firstLine="34"/>
              <w:jc w:val="both"/>
              <w:rPr>
                <w:rFonts w:ascii="Times New Roman" w:hAnsi="Times New Roman" w:cs="Times New Roman"/>
                <w:b/>
                <w:lang w:val="ky-KG"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Не принято</w:t>
            </w:r>
          </w:p>
        </w:tc>
        <w:tc>
          <w:tcPr>
            <w:tcW w:w="6520" w:type="dxa"/>
          </w:tcPr>
          <w:p w:rsidR="00E577A7" w:rsidRPr="00C25698" w:rsidRDefault="00E577A7" w:rsidP="0012100C">
            <w:pPr>
              <w:ind w:firstLine="319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Статья 221</w:t>
            </w:r>
            <w:r w:rsidRPr="00C25698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1</w:t>
            </w: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. Особенности налогообложения горнодобывающих и/или горноперерабатывающих предприятий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 xml:space="preserve">1. Налогоплательщик, осуществляющий деятельность по добыче и реализации золотосодержащей руды, золотосодержащего концентрата, золотого сплава и аффинированного золота, уплачивает налог на </w:t>
            </w:r>
            <w:r w:rsidRPr="00C25698">
              <w:rPr>
                <w:rFonts w:ascii="Times New Roman" w:eastAsia="Times New Roman" w:hAnsi="Times New Roman" w:cs="Times New Roman"/>
              </w:rPr>
              <w:br/>
              <w:t>доходы.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2. Объектом налогообложения налогом на доходы является деятельность по добыче и реализации золотосодержащей руды, золотосодержащего концентрата, золотого сплава и аффинированного золота.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3. Налоговой базой налога на доходы является: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1) выручка без учета НДС и налога с продаж, полученная от реализации золотого сплава и/или аффинированного золота;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2) стоимость золота в золотосодержащей руде и золотосодержащем концентрате, исчисленная исходя из мировых цен, в порядке, установленном Правительством Кыргызской Республики.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  <w:b/>
              </w:rPr>
              <w:t>4.Ставка налога на доходы устанавливается в следующих размерах: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  <w:b/>
              </w:rPr>
              <w:t>1) на золотосодержащую руду и золотосодержащий концентрат: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tbl>
            <w:tblPr>
              <w:tblW w:w="65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283"/>
              <w:gridCol w:w="425"/>
              <w:gridCol w:w="301"/>
              <w:gridCol w:w="283"/>
              <w:gridCol w:w="424"/>
              <w:gridCol w:w="267"/>
              <w:gridCol w:w="424"/>
              <w:gridCol w:w="284"/>
              <w:gridCol w:w="424"/>
              <w:gridCol w:w="427"/>
              <w:gridCol w:w="424"/>
              <w:gridCol w:w="427"/>
              <w:gridCol w:w="567"/>
              <w:gridCol w:w="707"/>
            </w:tblGrid>
            <w:tr w:rsidR="00F05B7D" w:rsidRPr="00C25698" w:rsidTr="00DA7184">
              <w:trPr>
                <w:trHeight w:val="20"/>
              </w:trPr>
              <w:tc>
                <w:tcPr>
                  <w:tcW w:w="67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46735">
                  <w:pPr>
                    <w:tabs>
                      <w:tab w:val="left" w:pos="1134"/>
                    </w:tabs>
                    <w:spacing w:after="0" w:line="240" w:lineRule="auto"/>
                    <w:ind w:left="-80" w:right="-16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 xml:space="preserve">Цена золота за одну тройскую унцию в </w:t>
                  </w: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долларах США</w:t>
                  </w:r>
                </w:p>
              </w:tc>
              <w:tc>
                <w:tcPr>
                  <w:tcW w:w="2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46735">
                  <w:pPr>
                    <w:tabs>
                      <w:tab w:val="left" w:pos="1134"/>
                    </w:tabs>
                    <w:spacing w:after="0" w:line="240" w:lineRule="auto"/>
                    <w:ind w:left="-55" w:right="-13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до 1300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535DC">
                  <w:pPr>
                    <w:tabs>
                      <w:tab w:val="left" w:pos="1134"/>
                    </w:tabs>
                    <w:spacing w:after="0" w:line="240" w:lineRule="auto"/>
                    <w:ind w:left="-7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1301 по 1400</w:t>
                  </w:r>
                </w:p>
              </w:tc>
              <w:tc>
                <w:tcPr>
                  <w:tcW w:w="23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74" w:right="-10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1401 по 1500</w:t>
                  </w:r>
                </w:p>
              </w:tc>
              <w:tc>
                <w:tcPr>
                  <w:tcW w:w="21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08" w:righ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1501 по 1600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right="-105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1601 по 1700</w:t>
                  </w:r>
                </w:p>
              </w:tc>
              <w:tc>
                <w:tcPr>
                  <w:tcW w:w="20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24" w:right="-15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1701 по 1800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10" w:right="-9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1801 по 1900</w:t>
                  </w:r>
                </w:p>
              </w:tc>
              <w:tc>
                <w:tcPr>
                  <w:tcW w:w="2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12" w:right="-95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1901 по 2000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11" w:right="-13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2001 по 2100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2101 по 2200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2201 по 2300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08" w:righ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2301 по 2400</w:t>
                  </w:r>
                </w:p>
              </w:tc>
              <w:tc>
                <w:tcPr>
                  <w:tcW w:w="43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F05B7D">
                  <w:pPr>
                    <w:tabs>
                      <w:tab w:val="left" w:pos="1134"/>
                    </w:tabs>
                    <w:spacing w:after="0" w:line="240" w:lineRule="auto"/>
                    <w:ind w:left="-109" w:right="-9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2401 по 2500</w:t>
                  </w:r>
                </w:p>
              </w:tc>
              <w:tc>
                <w:tcPr>
                  <w:tcW w:w="54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2501 и выше</w:t>
                  </w:r>
                </w:p>
              </w:tc>
            </w:tr>
            <w:tr w:rsidR="00F05B7D" w:rsidRPr="00C25698" w:rsidTr="00DA7184">
              <w:trPr>
                <w:trHeight w:val="20"/>
              </w:trPr>
              <w:tc>
                <w:tcPr>
                  <w:tcW w:w="67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lastRenderedPageBreak/>
                    <w:t>Ставка налога на доход, в %</w:t>
                  </w:r>
                  <w:r w:rsidR="00C17AC6" w:rsidRPr="00C25698">
                    <w:rPr>
                      <w:rFonts w:ascii="Times New Roman" w:hAnsi="Times New Roman" w:cs="Times New Roman"/>
                      <w:b/>
                    </w:rPr>
                    <w:t xml:space="preserve"> до2023 года</w:t>
                  </w:r>
                </w:p>
              </w:tc>
              <w:tc>
                <w:tcPr>
                  <w:tcW w:w="2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27F00" w:rsidP="00DA7184">
                  <w:pPr>
                    <w:tabs>
                      <w:tab w:val="left" w:pos="1134"/>
                    </w:tabs>
                    <w:spacing w:after="0" w:line="240" w:lineRule="auto"/>
                    <w:ind w:left="-111" w:right="-105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8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07BB3" w:rsidP="00B27F00">
                  <w:pPr>
                    <w:tabs>
                      <w:tab w:val="left" w:pos="1134"/>
                    </w:tabs>
                    <w:spacing w:after="0" w:line="240" w:lineRule="auto"/>
                    <w:ind w:left="-108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0</w:t>
                  </w:r>
                </w:p>
              </w:tc>
              <w:tc>
                <w:tcPr>
                  <w:tcW w:w="23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07BB3" w:rsidP="00B27F00">
                  <w:pPr>
                    <w:tabs>
                      <w:tab w:val="left" w:pos="1134"/>
                    </w:tabs>
                    <w:spacing w:after="0" w:line="240" w:lineRule="auto"/>
                    <w:ind w:left="-107" w:right="-91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</w:p>
              </w:tc>
              <w:tc>
                <w:tcPr>
                  <w:tcW w:w="21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B27F00">
                  <w:pPr>
                    <w:tabs>
                      <w:tab w:val="left" w:pos="1134"/>
                    </w:tabs>
                    <w:spacing w:after="0" w:line="240" w:lineRule="auto"/>
                    <w:ind w:left="-125" w:right="-92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4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B27F00">
                  <w:pPr>
                    <w:tabs>
                      <w:tab w:val="left" w:pos="1134"/>
                    </w:tabs>
                    <w:spacing w:after="0" w:line="240" w:lineRule="auto"/>
                    <w:ind w:left="-124" w:right="-93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6</w:t>
                  </w:r>
                </w:p>
              </w:tc>
              <w:tc>
                <w:tcPr>
                  <w:tcW w:w="20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27F00" w:rsidP="00B07BB3">
                  <w:pPr>
                    <w:tabs>
                      <w:tab w:val="left" w:pos="1134"/>
                    </w:tabs>
                    <w:spacing w:after="0" w:line="240" w:lineRule="auto"/>
                    <w:ind w:left="-123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18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07BB3" w:rsidP="00B27F00">
                  <w:pPr>
                    <w:tabs>
                      <w:tab w:val="left" w:pos="1134"/>
                    </w:tabs>
                    <w:spacing w:after="0" w:line="240" w:lineRule="auto"/>
                    <w:ind w:left="-107" w:right="-111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0</w:t>
                  </w:r>
                </w:p>
              </w:tc>
              <w:tc>
                <w:tcPr>
                  <w:tcW w:w="2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07BB3" w:rsidP="00B27F00">
                  <w:pPr>
                    <w:tabs>
                      <w:tab w:val="left" w:pos="1134"/>
                    </w:tabs>
                    <w:spacing w:after="0" w:line="240" w:lineRule="auto"/>
                    <w:ind w:left="-105" w:right="-110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A82855" w:rsidP="00B27F00">
                  <w:pPr>
                    <w:tabs>
                      <w:tab w:val="left" w:pos="1134"/>
                    </w:tabs>
                    <w:spacing w:after="0" w:line="240" w:lineRule="auto"/>
                    <w:ind w:left="-106" w:right="-110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A82855" w:rsidP="00B27F00">
                  <w:pPr>
                    <w:tabs>
                      <w:tab w:val="left" w:pos="1134"/>
                    </w:tabs>
                    <w:spacing w:after="0" w:line="240" w:lineRule="auto"/>
                    <w:ind w:left="-106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3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B27F00">
                  <w:pPr>
                    <w:tabs>
                      <w:tab w:val="left" w:pos="1134"/>
                    </w:tabs>
                    <w:spacing w:after="0" w:line="240" w:lineRule="auto"/>
                    <w:ind w:left="-107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4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B27F00">
                  <w:pPr>
                    <w:tabs>
                      <w:tab w:val="left" w:pos="1134"/>
                    </w:tabs>
                    <w:spacing w:after="0" w:line="240" w:lineRule="auto"/>
                    <w:ind w:left="-107" w:right="-107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5</w:t>
                  </w:r>
                </w:p>
              </w:tc>
              <w:tc>
                <w:tcPr>
                  <w:tcW w:w="43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B27F00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</w:t>
                  </w:r>
                  <w:r w:rsidR="00B27F00"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6</w:t>
                  </w:r>
                </w:p>
              </w:tc>
              <w:tc>
                <w:tcPr>
                  <w:tcW w:w="54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B27F00" w:rsidP="00A82855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27</w:t>
                  </w:r>
                </w:p>
              </w:tc>
            </w:tr>
            <w:tr w:rsidR="00C17AC6" w:rsidRPr="00C25698" w:rsidTr="00DA7184">
              <w:trPr>
                <w:trHeight w:val="20"/>
              </w:trPr>
              <w:tc>
                <w:tcPr>
                  <w:tcW w:w="67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 xml:space="preserve">Ставка налога на доход, в % с 2023 года </w:t>
                  </w:r>
                </w:p>
              </w:tc>
              <w:tc>
                <w:tcPr>
                  <w:tcW w:w="21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11" w:right="-105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11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08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13</w:t>
                  </w:r>
                </w:p>
              </w:tc>
              <w:tc>
                <w:tcPr>
                  <w:tcW w:w="23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07" w:right="-91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15</w:t>
                  </w:r>
                </w:p>
              </w:tc>
              <w:tc>
                <w:tcPr>
                  <w:tcW w:w="21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25" w:right="-92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17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24" w:right="-93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19</w:t>
                  </w:r>
                </w:p>
              </w:tc>
              <w:tc>
                <w:tcPr>
                  <w:tcW w:w="20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B07BB3">
                  <w:pPr>
                    <w:tabs>
                      <w:tab w:val="left" w:pos="1134"/>
                    </w:tabs>
                    <w:spacing w:after="0" w:line="240" w:lineRule="auto"/>
                    <w:ind w:left="-123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21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07" w:right="-111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23</w:t>
                  </w:r>
                </w:p>
              </w:tc>
              <w:tc>
                <w:tcPr>
                  <w:tcW w:w="2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05" w:right="-110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24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C17AC6" w:rsidP="00DA7184">
                  <w:pPr>
                    <w:tabs>
                      <w:tab w:val="left" w:pos="1134"/>
                    </w:tabs>
                    <w:spacing w:after="0" w:line="240" w:lineRule="auto"/>
                    <w:ind w:left="-106" w:right="-110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25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B27F00" w:rsidP="00DA7184">
                  <w:pPr>
                    <w:tabs>
                      <w:tab w:val="left" w:pos="1134"/>
                    </w:tabs>
                    <w:spacing w:after="0" w:line="240" w:lineRule="auto"/>
                    <w:ind w:left="-106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26</w:t>
                  </w:r>
                </w:p>
              </w:tc>
              <w:tc>
                <w:tcPr>
                  <w:tcW w:w="32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B27F00" w:rsidP="00DA7184">
                  <w:pPr>
                    <w:tabs>
                      <w:tab w:val="left" w:pos="1134"/>
                    </w:tabs>
                    <w:spacing w:after="0" w:line="240" w:lineRule="auto"/>
                    <w:ind w:left="-107" w:right="-109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27</w:t>
                  </w:r>
                </w:p>
              </w:tc>
              <w:tc>
                <w:tcPr>
                  <w:tcW w:w="32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B27F00" w:rsidP="00DA7184">
                  <w:pPr>
                    <w:tabs>
                      <w:tab w:val="left" w:pos="1134"/>
                    </w:tabs>
                    <w:spacing w:after="0" w:line="240" w:lineRule="auto"/>
                    <w:ind w:left="-107" w:right="-107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28</w:t>
                  </w:r>
                </w:p>
              </w:tc>
              <w:tc>
                <w:tcPr>
                  <w:tcW w:w="43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B27F00" w:rsidP="00DA7184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29</w:t>
                  </w:r>
                </w:p>
              </w:tc>
              <w:tc>
                <w:tcPr>
                  <w:tcW w:w="54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17AC6" w:rsidRPr="00C25698" w:rsidRDefault="00B27F00" w:rsidP="00A82855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  <w:u w:val="single"/>
                    </w:rPr>
                    <w:t>30</w:t>
                  </w:r>
                </w:p>
              </w:tc>
            </w:tr>
          </w:tbl>
          <w:p w:rsidR="00E577A7" w:rsidRPr="00C25698" w:rsidRDefault="00E577A7" w:rsidP="0012100C">
            <w:pPr>
              <w:pStyle w:val="a4"/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b/>
              </w:rPr>
            </w:pPr>
            <w:r w:rsidRPr="00C25698">
              <w:rPr>
                <w:rFonts w:ascii="Times New Roman" w:hAnsi="Times New Roman"/>
                <w:b/>
              </w:rPr>
              <w:t>2) на золотой сплав и аффинированное золото:</w:t>
            </w:r>
          </w:p>
          <w:tbl>
            <w:tblPr>
              <w:tblW w:w="497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2"/>
              <w:gridCol w:w="391"/>
              <w:gridCol w:w="391"/>
              <w:gridCol w:w="391"/>
              <w:gridCol w:w="391"/>
              <w:gridCol w:w="390"/>
              <w:gridCol w:w="390"/>
              <w:gridCol w:w="390"/>
              <w:gridCol w:w="390"/>
              <w:gridCol w:w="262"/>
              <w:gridCol w:w="426"/>
              <w:gridCol w:w="480"/>
              <w:gridCol w:w="388"/>
              <w:gridCol w:w="341"/>
              <w:gridCol w:w="492"/>
            </w:tblGrid>
            <w:tr w:rsidR="00E577A7" w:rsidRPr="00C25698" w:rsidTr="00560F7B">
              <w:tc>
                <w:tcPr>
                  <w:tcW w:w="60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Цена золота за одну тройскую унцию в долларах США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right="-12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до 1300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89" w:right="-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1301 по 1400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54" w:right="-54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1401 по 1500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20" w:right="-8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1501 по 1600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128" w:right="-124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1601 по 1700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92" w:right="-1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1701 по 1800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57" w:right="-5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1801 по 1900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32" w:right="-88" w:firstLine="1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1901 по 2000</w:t>
                  </w:r>
                </w:p>
              </w:tc>
              <w:tc>
                <w:tcPr>
                  <w:tcW w:w="20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128" w:right="-12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2001 по 2100</w:t>
                  </w:r>
                </w:p>
              </w:tc>
              <w:tc>
                <w:tcPr>
                  <w:tcW w:w="34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93" w:right="-15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2101 по 2200</w:t>
                  </w:r>
                </w:p>
              </w:tc>
              <w:tc>
                <w:tcPr>
                  <w:tcW w:w="38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58" w:right="-54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2201 по 2300</w:t>
                  </w:r>
                </w:p>
              </w:tc>
              <w:tc>
                <w:tcPr>
                  <w:tcW w:w="31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162" w:firstLine="16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2301 по 2400</w:t>
                  </w:r>
                </w:p>
              </w:tc>
              <w:tc>
                <w:tcPr>
                  <w:tcW w:w="27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125" w:right="-33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2401 по 2500</w:t>
                  </w:r>
                </w:p>
              </w:tc>
              <w:tc>
                <w:tcPr>
                  <w:tcW w:w="39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D75A34">
                  <w:pPr>
                    <w:tabs>
                      <w:tab w:val="left" w:pos="1134"/>
                    </w:tabs>
                    <w:spacing w:after="0" w:line="240" w:lineRule="auto"/>
                    <w:ind w:left="-41" w:right="-54" w:hanging="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 2501 и выше</w:t>
                  </w:r>
                </w:p>
              </w:tc>
            </w:tr>
            <w:tr w:rsidR="00E577A7" w:rsidRPr="00C25698" w:rsidTr="00560F7B">
              <w:tc>
                <w:tcPr>
                  <w:tcW w:w="60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Ставка налога на доход,в %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1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right="-15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left="-57" w:right="-5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13</w:t>
                  </w:r>
                </w:p>
              </w:tc>
              <w:tc>
                <w:tcPr>
                  <w:tcW w:w="311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-2573"/>
                      <w:tab w:val="left" w:pos="1134"/>
                    </w:tabs>
                    <w:spacing w:after="0" w:line="240" w:lineRule="auto"/>
                    <w:ind w:left="-32" w:right="-8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14</w:t>
                  </w:r>
                </w:p>
              </w:tc>
              <w:tc>
                <w:tcPr>
                  <w:tcW w:w="20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left="-128" w:right="-109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15</w:t>
                  </w:r>
                </w:p>
              </w:tc>
              <w:tc>
                <w:tcPr>
                  <w:tcW w:w="34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left="-10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16</w:t>
                  </w:r>
                </w:p>
              </w:tc>
              <w:tc>
                <w:tcPr>
                  <w:tcW w:w="38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17</w:t>
                  </w:r>
                </w:p>
              </w:tc>
              <w:tc>
                <w:tcPr>
                  <w:tcW w:w="31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left="-21" w:right="-9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18</w:t>
                  </w:r>
                </w:p>
              </w:tc>
              <w:tc>
                <w:tcPr>
                  <w:tcW w:w="272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560F7B">
                  <w:pPr>
                    <w:tabs>
                      <w:tab w:val="left" w:pos="1134"/>
                    </w:tabs>
                    <w:spacing w:after="0" w:line="240" w:lineRule="auto"/>
                    <w:ind w:left="-125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19</w:t>
                  </w:r>
                </w:p>
              </w:tc>
              <w:tc>
                <w:tcPr>
                  <w:tcW w:w="393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577A7" w:rsidRPr="00C25698" w:rsidRDefault="00E577A7" w:rsidP="0012100C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25698">
                    <w:rPr>
                      <w:rFonts w:ascii="Times New Roman" w:hAnsi="Times New Roman" w:cs="Times New Roman"/>
                      <w:b/>
                    </w:rPr>
                    <w:t>20</w:t>
                  </w:r>
                </w:p>
              </w:tc>
            </w:tr>
          </w:tbl>
          <w:p w:rsidR="00E577A7" w:rsidRPr="00C25698" w:rsidRDefault="00E577A7" w:rsidP="0012100C">
            <w:pPr>
              <w:ind w:firstLine="317"/>
              <w:jc w:val="both"/>
              <w:rPr>
                <w:rFonts w:ascii="Times New Roman" w:hAnsi="Times New Roman" w:cs="Times New Roman"/>
              </w:rPr>
            </w:pP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5. Налоговым периодом налога на доходы является календарный месяц.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6. Исчисление налога на доходы производится в соответствии с порядком, установленным частью 1 статьи 37 настоящего Кодекса.</w:t>
            </w:r>
          </w:p>
          <w:p w:rsidR="00E577A7" w:rsidRPr="00C25698" w:rsidRDefault="00E577A7" w:rsidP="0012100C">
            <w:pPr>
              <w:ind w:firstLine="317"/>
              <w:jc w:val="both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eastAsia="Times New Roman" w:hAnsi="Times New Roman" w:cs="Times New Roman"/>
              </w:rPr>
              <w:t>7. Налогоплательщик, указанный в части 1 настоящей статьи, обязан представлять налоговую отчетность и производить уплату налога на доходы не позднее 20 числа месяца, следующего за отчетным периодом, по месту учетной регистрации. В случае отсутствия учетной регистрации налог на доходы уплачивается по месту налоговой регистрации.</w:t>
            </w:r>
          </w:p>
        </w:tc>
      </w:tr>
      <w:tr w:rsidR="00E577A7" w:rsidRPr="00C25698" w:rsidTr="00E577A7">
        <w:tc>
          <w:tcPr>
            <w:tcW w:w="6946" w:type="dxa"/>
          </w:tcPr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Статья 309. Налоговая база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>1. Налоговой базой роялти является: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«1) выручка без учета НДС и налога с продаж, полученная от реализации: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- полезных ископаемых, за исключением металлосодержащих руд и концентратов биржевых металлов, или;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- продукции, полученной в результате переработки полезных ископаемых;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>2) объем реализованной продукции в натуральном выражении;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 xml:space="preserve">3) объем отбираемой воды из недр по водомеру - для </w:t>
            </w:r>
            <w:r w:rsidRPr="00C25698">
              <w:rPr>
                <w:rFonts w:ascii="Times New Roman" w:eastAsia="Times New Roman" w:hAnsi="Times New Roman" w:cs="Times New Roman"/>
                <w:bCs/>
              </w:rPr>
              <w:br/>
              <w:t>налогоплательщиков роялти, за исключением специализированных организаций водоснабжения.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4) стоимость химически чистого металла, содержащегося в металлосодержащей руде или концентрате биржевого металла, реализованных в налоговом периоде.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В случае, если стоимость химически чистого металла, содержащегося в металлосодержащей руде или концентрате биржевого металла ниже выручки, полученной от реализации металлосодержащих руд и концентратов биржевых металлов, то в качестве налоговой базы роялти применяется выручка, полученная от реализации металлосодержащих руд и концентратов биржевых металлов.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2. Стоимость химически чистого металла рассчитывается исходя из стоимости биржевого металла и содержания металла в металлосодержащей руде или концентрате биржевого металла, определяемого в порядке, установленном Правительством Кыргызской Республики.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Стоимость биржевого металла определяется как среднеарифметическое значение между суммой ежедневной усредненной котировкой цен на металлы в дни, за которые опубликованы котировки цен на Лондонской бирже металлов в течение налогового периода, и количеством дней в налоговом периоде, за которые опубликованы котировки цен на металлы.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3. В настоящей главе под биржевым металлом понимается металл, стоимость которого котируется на Лондонской бирже металлов.</w:t>
            </w:r>
          </w:p>
        </w:tc>
        <w:tc>
          <w:tcPr>
            <w:tcW w:w="1985" w:type="dxa"/>
          </w:tcPr>
          <w:p w:rsidR="009336A4" w:rsidRPr="00C25698" w:rsidRDefault="00CA4701" w:rsidP="00CA4701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</w:rPr>
              <w:t xml:space="preserve">Предложение </w:t>
            </w:r>
            <w:r w:rsidR="009336A4" w:rsidRPr="00C25698">
              <w:rPr>
                <w:rFonts w:ascii="Times New Roman" w:hAnsi="Times New Roman" w:cs="Times New Roman"/>
              </w:rPr>
              <w:t>Комитет</w:t>
            </w:r>
            <w:r w:rsidR="00B07BB3" w:rsidRPr="00C25698">
              <w:rPr>
                <w:rFonts w:ascii="Times New Roman" w:hAnsi="Times New Roman" w:cs="Times New Roman"/>
              </w:rPr>
              <w:t>а</w:t>
            </w:r>
            <w:r w:rsidR="009336A4" w:rsidRPr="00C25698">
              <w:rPr>
                <w:rFonts w:ascii="Times New Roman" w:hAnsi="Times New Roman" w:cs="Times New Roman"/>
              </w:rPr>
              <w:t xml:space="preserve"> по топливно-энергетическом</w:t>
            </w:r>
            <w:r w:rsidR="00B07BB3" w:rsidRPr="00C25698">
              <w:rPr>
                <w:rFonts w:ascii="Times New Roman" w:hAnsi="Times New Roman" w:cs="Times New Roman"/>
              </w:rPr>
              <w:t>у комплексу и недропользованию</w:t>
            </w:r>
            <w:r w:rsidR="009336A4" w:rsidRPr="00C25698">
              <w:rPr>
                <w:rFonts w:ascii="Times New Roman" w:hAnsi="Times New Roman" w:cs="Times New Roman"/>
              </w:rPr>
              <w:t>:</w:t>
            </w:r>
          </w:p>
          <w:p w:rsidR="009336A4" w:rsidRPr="00C25698" w:rsidRDefault="00722DF9" w:rsidP="00CA4701">
            <w:pPr>
              <w:tabs>
                <w:tab w:val="left" w:pos="1134"/>
              </w:tabs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  <w:lang w:val="ky-KG"/>
              </w:rPr>
              <w:t>Абзац первый части 2</w:t>
            </w:r>
            <w:r w:rsidR="009336A4" w:rsidRPr="00C25698">
              <w:rPr>
                <w:rFonts w:ascii="Times New Roman" w:hAnsi="Times New Roman" w:cs="Times New Roman"/>
              </w:rPr>
              <w:t xml:space="preserve"> изложить в следующей редакции:</w:t>
            </w:r>
          </w:p>
          <w:p w:rsidR="009336A4" w:rsidRPr="00C25698" w:rsidRDefault="009336A4" w:rsidP="00CA4701">
            <w:pPr>
              <w:tabs>
                <w:tab w:val="left" w:pos="1134"/>
              </w:tabs>
              <w:spacing w:before="120"/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</w:rPr>
              <w:t xml:space="preserve">«2. Стоимость химически чистого металла рассчитывается исходя из стоимости биржевого металла, определяемого в порядке, установленном Правительством </w:t>
            </w:r>
            <w:r w:rsidR="00722DF9" w:rsidRPr="00C25698">
              <w:rPr>
                <w:rFonts w:ascii="Times New Roman" w:hAnsi="Times New Roman" w:cs="Times New Roman"/>
              </w:rPr>
              <w:t>КР</w:t>
            </w:r>
            <w:r w:rsidRPr="00C25698">
              <w:rPr>
                <w:rFonts w:ascii="Times New Roman" w:hAnsi="Times New Roman" w:cs="Times New Roman"/>
              </w:rPr>
              <w:t xml:space="preserve"> и содержания металла в металлосодержащей руде или концентрате биржевого металла, определенного в ходе прохождения процедуры учетного контроля на территории </w:t>
            </w:r>
            <w:r w:rsidR="00722DF9" w:rsidRPr="00C25698">
              <w:rPr>
                <w:rFonts w:ascii="Times New Roman" w:hAnsi="Times New Roman" w:cs="Times New Roman"/>
              </w:rPr>
              <w:t>КР.</w:t>
            </w:r>
            <w:r w:rsidR="00CD7F22" w:rsidRPr="00C25698">
              <w:rPr>
                <w:rFonts w:ascii="Times New Roman" w:hAnsi="Times New Roman" w:cs="Times New Roman"/>
              </w:rPr>
              <w:t>……</w:t>
            </w:r>
          </w:p>
          <w:p w:rsidR="00C05986" w:rsidRPr="00C25698" w:rsidRDefault="00722DF9" w:rsidP="00C25698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Н</w:t>
            </w:r>
            <w:r w:rsidR="00C05986" w:rsidRPr="00C25698">
              <w:rPr>
                <w:rFonts w:ascii="Times New Roman" w:hAnsi="Times New Roman" w:cs="Times New Roman"/>
                <w:b/>
                <w:i/>
              </w:rPr>
              <w:t>е принято</w:t>
            </w:r>
          </w:p>
          <w:p w:rsidR="009336A4" w:rsidRPr="00C25698" w:rsidRDefault="00FA6204" w:rsidP="00C25698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C25698">
              <w:rPr>
                <w:rFonts w:ascii="Times New Roman" w:hAnsi="Times New Roman" w:cs="Times New Roman"/>
              </w:rPr>
              <w:t>Д</w:t>
            </w:r>
            <w:r w:rsidR="009336A4" w:rsidRPr="00C25698">
              <w:rPr>
                <w:rFonts w:ascii="Times New Roman" w:hAnsi="Times New Roman" w:cs="Times New Roman"/>
              </w:rPr>
              <w:t xml:space="preserve">ать определение </w:t>
            </w:r>
            <w:r w:rsidR="009336A4" w:rsidRPr="00C25698">
              <w:rPr>
                <w:rFonts w:ascii="Times New Roman" w:hAnsi="Times New Roman" w:cs="Times New Roman"/>
              </w:rPr>
              <w:lastRenderedPageBreak/>
              <w:t>словам «химически чистый металл».</w:t>
            </w:r>
          </w:p>
          <w:p w:rsidR="00E577A7" w:rsidRPr="00C25698" w:rsidRDefault="0004536B" w:rsidP="00C25698">
            <w:pPr>
              <w:ind w:firstLine="34"/>
              <w:jc w:val="both"/>
              <w:rPr>
                <w:rFonts w:ascii="Times New Roman" w:hAnsi="Times New Roman" w:cs="Times New Roman"/>
                <w:b/>
                <w:lang w:val="ky-KG"/>
              </w:rPr>
            </w:pPr>
            <w:r w:rsidRPr="00C25698">
              <w:rPr>
                <w:rFonts w:ascii="Times New Roman" w:hAnsi="Times New Roman" w:cs="Times New Roman"/>
                <w:b/>
                <w:i/>
              </w:rPr>
              <w:t>Н</w:t>
            </w:r>
            <w:r w:rsidR="00CD7F22" w:rsidRPr="00C25698">
              <w:rPr>
                <w:rFonts w:ascii="Times New Roman" w:hAnsi="Times New Roman" w:cs="Times New Roman"/>
                <w:b/>
                <w:i/>
              </w:rPr>
              <w:t>е принято</w:t>
            </w:r>
            <w:r w:rsidR="00C31BD3" w:rsidRPr="00C25698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6520" w:type="dxa"/>
          </w:tcPr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Статья 309. Налоговая база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>1. Налоговой базой роялти является: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«1) выручка без учета НДС и налога с продаж, полученная от реализации: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- полезных ископаемых, за исключением металлосодержащих руд и концентратов биржевых металлов, или;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/>
                <w:bCs/>
              </w:rPr>
              <w:t>- продукции, полученной в результате переработки полезных ископаемых;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>2) объем реализованной продукции в натуральном выражении;</w:t>
            </w:r>
          </w:p>
          <w:p w:rsidR="00E577A7" w:rsidRPr="00C25698" w:rsidRDefault="00E577A7" w:rsidP="0012100C">
            <w:pPr>
              <w:ind w:firstLine="319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25698">
              <w:rPr>
                <w:rFonts w:ascii="Times New Roman" w:eastAsia="Times New Roman" w:hAnsi="Times New Roman" w:cs="Times New Roman"/>
                <w:bCs/>
              </w:rPr>
              <w:t xml:space="preserve">3) объем отбираемой воды из недр по водомеру - для </w:t>
            </w:r>
            <w:r w:rsidRPr="00C25698">
              <w:rPr>
                <w:rFonts w:ascii="Times New Roman" w:eastAsia="Times New Roman" w:hAnsi="Times New Roman" w:cs="Times New Roman"/>
                <w:bCs/>
              </w:rPr>
              <w:br/>
              <w:t>налогоплательщиков роялти, за исключением специализированных организаций водоснабжения.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4) стоимость химически чистого металла, содержащегося в металлосодержащей руде или концентрате биржевого металла, реализованных в налоговом периоде.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В случае, если стоимость химически чистого металла, содержащегося в металлосодержащей руде или концентрате биржевого металла ниже выручки, полученной от реализации металлосодержащих руд и концентратов биржевых металлов, то в качестве налоговой базы роялти применяется выручка, полученная от реализации металлосодержащих руд и концентратов биржевых металлов.</w:t>
            </w:r>
          </w:p>
          <w:p w:rsidR="00B07BB3" w:rsidRPr="00C25698" w:rsidRDefault="00E577A7" w:rsidP="00B07BB3">
            <w:pPr>
              <w:tabs>
                <w:tab w:val="left" w:pos="1134"/>
              </w:tabs>
              <w:spacing w:before="120"/>
              <w:ind w:firstLine="34"/>
              <w:jc w:val="both"/>
              <w:rPr>
                <w:rFonts w:ascii="Times New Roman" w:hAnsi="Times New Roman" w:cs="Times New Roman"/>
                <w:b/>
              </w:rPr>
            </w:pPr>
            <w:r w:rsidRPr="00C25698">
              <w:rPr>
                <w:rFonts w:ascii="Times New Roman" w:hAnsi="Times New Roman" w:cs="Times New Roman"/>
                <w:b/>
              </w:rPr>
              <w:t xml:space="preserve">2. </w:t>
            </w:r>
            <w:r w:rsidR="00722DF9" w:rsidRPr="00C25698">
              <w:rPr>
                <w:rFonts w:ascii="Times New Roman" w:hAnsi="Times New Roman" w:cs="Times New Roman"/>
                <w:b/>
              </w:rPr>
              <w:t>Стоимость химически чистого металла рассчитывается исходя из стоимости биржевого металла и содержания металла в металлосодержащей руде или концентрате биржевого металла, определяемого в порядке, установленном Правительством Кыргызской Республики.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Стоимость биржевого металла определяется как среднеарифметическое значение между суммой ежедневной усредненной котировкой цен на металлы в дни, за которые опубликованы котировки цен на Лондонской бирже металлов в течение налогового периода, и количеством дней в налоговом периоде, за которые опубликованы котировки цен на металлы.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3. В настоящей главе под биржевым металлом понимается металл, стоимость которого котируется на Лондонской бирже металлов.</w:t>
            </w:r>
          </w:p>
          <w:p w:rsidR="00C31BD3" w:rsidRPr="00C25698" w:rsidRDefault="00C31BD3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31BD3" w:rsidRPr="00C25698" w:rsidRDefault="00C31BD3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31BD3" w:rsidRPr="00C25698" w:rsidRDefault="00C31BD3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31BD3" w:rsidRPr="00C25698" w:rsidRDefault="00C31BD3" w:rsidP="0012100C">
            <w:pPr>
              <w:pStyle w:val="tkTekst"/>
              <w:spacing w:after="0"/>
              <w:ind w:firstLine="318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</w:p>
        </w:tc>
      </w:tr>
      <w:tr w:rsidR="00E577A7" w:rsidRPr="00C25698" w:rsidTr="00E577A7">
        <w:tc>
          <w:tcPr>
            <w:tcW w:w="6946" w:type="dxa"/>
          </w:tcPr>
          <w:p w:rsidR="00E577A7" w:rsidRPr="00C25698" w:rsidRDefault="00E577A7" w:rsidP="0012100C">
            <w:pPr>
              <w:pStyle w:val="tkZagolovok5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Статья 310. Ставка роялти</w:t>
            </w:r>
          </w:p>
          <w:p w:rsidR="00E577A7" w:rsidRPr="00C25698" w:rsidRDefault="00E577A7" w:rsidP="0012100C">
            <w:pPr>
              <w:pStyle w:val="tkZagolovok5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t>1. Ставка роялти устанавливается от объема отбираемой воды в натуральном выражении, за исключением специализированных организаций водоснабжения, в следующих размерах: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89"/>
              <w:gridCol w:w="1303"/>
              <w:gridCol w:w="1432"/>
            </w:tblGrid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Полезное ископаемое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Единица измерения (налоговая база)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Ставка (в процентах или сомах)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Минеральные и пресные воды для розлива в качестве питьевых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Минеральные и термальные воды для бальнеолечения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0,05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Термальные воды для отопления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0,12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питьевые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0,15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технические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0,10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для сельскохозяйственного производства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0,01 сомов</w:t>
                  </w:r>
                </w:p>
              </w:tc>
            </w:tr>
          </w:tbl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2. Ставка роялти устанавливается: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1) для золота, серебра и платины, а также металлосодержащих руд и концентратов золота, серебра и платины с учетом прироста запасов: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а) для месторождений с запасами более 10 тонн - 5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б) для месторождений с запасами от 3 до 10 тонн - 3 процента;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в) для месторождений с запасами менее 3 тонн - 1 процент;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2) для металлов, металлосодержащих руд и концентратов металлов, за исключением золота, серебра и платины - 3 процента;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3) для специализированных организаций водоснабжения - 5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4) на гипс - 6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5) на природные камни для производства облицовочных </w:t>
            </w: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материалов - 12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6) на уголь каменный, бурый - 1 процент.</w:t>
            </w:r>
          </w:p>
          <w:p w:rsidR="00E577A7" w:rsidRPr="00C25698" w:rsidRDefault="00E577A7" w:rsidP="0012100C">
            <w:pPr>
              <w:pStyle w:val="tkTekst"/>
              <w:spacing w:after="0"/>
              <w:ind w:firstLine="317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t xml:space="preserve">3. Ставка роялти на реализованные полезные ископаемые или </w:t>
            </w:r>
            <w:r w:rsidRPr="00C256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продукты их переработки, не предусмотренная частями 1 и 2 настоящей статьи, устанавливается в размере 3 процентов от налоговой базы, исчисленной в соответствии с пунктом 1 части 1 </w:t>
            </w:r>
            <w:hyperlink r:id="rId9" w:anchor="st_309" w:history="1">
              <w:r w:rsidRPr="00C25698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статьи 309</w:t>
              </w:r>
            </w:hyperlink>
            <w:r w:rsidRPr="00C25698">
              <w:rPr>
                <w:rFonts w:ascii="Times New Roman" w:hAnsi="Times New Roman" w:cs="Times New Roman"/>
                <w:sz w:val="22"/>
                <w:szCs w:val="22"/>
              </w:rPr>
              <w:t xml:space="preserve"> настоящего Кодекса.</w:t>
            </w:r>
          </w:p>
        </w:tc>
        <w:tc>
          <w:tcPr>
            <w:tcW w:w="1985" w:type="dxa"/>
          </w:tcPr>
          <w:p w:rsidR="001D5CFA" w:rsidRPr="00C25698" w:rsidRDefault="00681D50" w:rsidP="001D5CFA">
            <w:pPr>
              <w:pStyle w:val="a4"/>
              <w:tabs>
                <w:tab w:val="left" w:pos="0"/>
              </w:tabs>
              <w:spacing w:after="120"/>
              <w:ind w:left="0" w:firstLine="176"/>
              <w:jc w:val="both"/>
              <w:rPr>
                <w:rFonts w:ascii="Times New Roman" w:hAnsi="Times New Roman"/>
              </w:rPr>
            </w:pPr>
            <w:r w:rsidRPr="00C25698">
              <w:rPr>
                <w:rFonts w:ascii="Times New Roman" w:hAnsi="Times New Roman"/>
              </w:rPr>
              <w:lastRenderedPageBreak/>
              <w:t>Депутатом А.</w:t>
            </w:r>
            <w:r w:rsidR="001D5CFA" w:rsidRPr="00C25698">
              <w:rPr>
                <w:rFonts w:ascii="Times New Roman" w:hAnsi="Times New Roman"/>
              </w:rPr>
              <w:t>Жапаровым было предложено следующее:</w:t>
            </w:r>
          </w:p>
          <w:p w:rsidR="001D5CFA" w:rsidRPr="00C25698" w:rsidRDefault="001D5CFA" w:rsidP="001D5CFA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ind w:left="0" w:firstLine="176"/>
              <w:jc w:val="both"/>
              <w:rPr>
                <w:rFonts w:ascii="Times New Roman" w:hAnsi="Times New Roman"/>
              </w:rPr>
            </w:pPr>
            <w:r w:rsidRPr="00C25698">
              <w:rPr>
                <w:rFonts w:ascii="Times New Roman" w:hAnsi="Times New Roman"/>
              </w:rPr>
              <w:t>В статье 310 Налогового кодекса в целях исключения коррупционного фактора установить единую ставку налога на роялти из-за сложности механизма администрирования по определению объема и содержания запасов месторождений;</w:t>
            </w:r>
          </w:p>
          <w:p w:rsidR="001D5CFA" w:rsidRPr="00C25698" w:rsidRDefault="00CD7F22" w:rsidP="00CD7F22">
            <w:pPr>
              <w:pStyle w:val="a4"/>
              <w:tabs>
                <w:tab w:val="left" w:pos="0"/>
              </w:tabs>
              <w:spacing w:before="120"/>
              <w:ind w:left="34"/>
              <w:jc w:val="both"/>
              <w:rPr>
                <w:rFonts w:ascii="Times New Roman" w:hAnsi="Times New Roman"/>
              </w:rPr>
            </w:pPr>
            <w:r w:rsidRPr="00C25698">
              <w:rPr>
                <w:rFonts w:ascii="Times New Roman" w:hAnsi="Times New Roman"/>
                <w:b/>
                <w:i/>
                <w:u w:val="single"/>
              </w:rPr>
              <w:t>Принято</w:t>
            </w:r>
          </w:p>
          <w:p w:rsidR="001D5CFA" w:rsidRPr="00C25698" w:rsidRDefault="001D5CFA" w:rsidP="001D5CFA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ind w:left="0" w:firstLine="176"/>
              <w:jc w:val="both"/>
              <w:rPr>
                <w:rFonts w:ascii="Times New Roman" w:hAnsi="Times New Roman"/>
              </w:rPr>
            </w:pPr>
            <w:r w:rsidRPr="00C25698">
              <w:rPr>
                <w:rFonts w:ascii="Times New Roman" w:hAnsi="Times New Roman"/>
              </w:rPr>
              <w:t>через три года ставки роялти увеличить в два раза, через пять лет увеличить в три раза, чтобы концентраты не вывозились, а перерабатывались на месте.</w:t>
            </w:r>
          </w:p>
          <w:p w:rsidR="00CD7F22" w:rsidRPr="00C25698" w:rsidRDefault="00FA6204" w:rsidP="00CD7F22">
            <w:pPr>
              <w:pStyle w:val="a4"/>
              <w:tabs>
                <w:tab w:val="left" w:pos="0"/>
              </w:tabs>
              <w:spacing w:before="120"/>
              <w:ind w:left="34"/>
              <w:jc w:val="both"/>
              <w:rPr>
                <w:rFonts w:ascii="Times New Roman" w:hAnsi="Times New Roman"/>
              </w:rPr>
            </w:pPr>
            <w:r w:rsidRPr="00C25698">
              <w:rPr>
                <w:rFonts w:ascii="Times New Roman" w:hAnsi="Times New Roman"/>
                <w:b/>
                <w:i/>
              </w:rPr>
              <w:lastRenderedPageBreak/>
              <w:t>Н</w:t>
            </w:r>
            <w:r w:rsidR="00CD7F22" w:rsidRPr="00C25698">
              <w:rPr>
                <w:rFonts w:ascii="Times New Roman" w:hAnsi="Times New Roman"/>
                <w:b/>
                <w:i/>
              </w:rPr>
              <w:t>е принято</w:t>
            </w:r>
          </w:p>
          <w:p w:rsidR="00E577A7" w:rsidRPr="00C25698" w:rsidRDefault="00E577A7" w:rsidP="001D5CFA">
            <w:pPr>
              <w:pStyle w:val="tkTekst"/>
              <w:spacing w:after="0"/>
              <w:ind w:right="-108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20" w:type="dxa"/>
          </w:tcPr>
          <w:p w:rsidR="00E577A7" w:rsidRPr="00C25698" w:rsidRDefault="00E577A7" w:rsidP="0012100C">
            <w:pPr>
              <w:pStyle w:val="tkZagolovok5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Статья 310. Ставка роялти</w:t>
            </w:r>
          </w:p>
          <w:p w:rsidR="00E577A7" w:rsidRPr="00C25698" w:rsidRDefault="00E577A7" w:rsidP="0012100C">
            <w:pPr>
              <w:pStyle w:val="tkZagolovok5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t>1. Ставка роялти устанавливается от объема отбираемой воды в натуральном выражении, за исключением специализированных организаций водоснабжения, в следующих размерах: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36"/>
              <w:gridCol w:w="1221"/>
              <w:gridCol w:w="1341"/>
            </w:tblGrid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Полезное ископаемое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Единица измерения (налоговая база)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Ставка (в процентах или сомах)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Минеральные и пресные воды для розлива в качестве питьевых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200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Минеральные и термальные воды для бальнеолечения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0,05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Термальные воды для отопления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0,12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питьевые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0,15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технические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0,10 сомов</w:t>
                  </w:r>
                </w:p>
              </w:tc>
            </w:tr>
            <w:tr w:rsidR="00E577A7" w:rsidRPr="00C25698" w:rsidTr="0012100C">
              <w:tc>
                <w:tcPr>
                  <w:tcW w:w="29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Пресные воды для сельскохозяйственного производства</w:t>
                  </w:r>
                </w:p>
              </w:tc>
              <w:tc>
                <w:tcPr>
                  <w:tcW w:w="969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куб.м</w:t>
                  </w:r>
                </w:p>
              </w:tc>
              <w:tc>
                <w:tcPr>
                  <w:tcW w:w="1065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577A7" w:rsidRPr="00C25698" w:rsidRDefault="00E577A7" w:rsidP="0012100C">
                  <w:pPr>
                    <w:pStyle w:val="tkTekst"/>
                    <w:spacing w:after="0"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25698">
                    <w:rPr>
                      <w:rFonts w:ascii="Times New Roman" w:hAnsi="Times New Roman" w:cs="Times New Roman"/>
                      <w:sz w:val="22"/>
                      <w:szCs w:val="22"/>
                    </w:rPr>
                    <w:t>0,01 сомов</w:t>
                  </w:r>
                </w:p>
              </w:tc>
            </w:tr>
          </w:tbl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2. Ставка роялти устанавливается:</w:t>
            </w:r>
          </w:p>
          <w:p w:rsidR="00E577A7" w:rsidRPr="00C25698" w:rsidRDefault="00E577A7" w:rsidP="00C31BD3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1) </w:t>
            </w:r>
            <w:r w:rsidRPr="00C25698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для золота, серебра и платины, а также металлосодержащих руд и концентратов золота, серебра и платины </w:t>
            </w:r>
            <w:r w:rsidR="00C31BD3" w:rsidRPr="00C25698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- 5 процентов</w:t>
            </w:r>
            <w:bookmarkStart w:id="0" w:name="_GoBack"/>
            <w:bookmarkEnd w:id="0"/>
            <w:r w:rsidR="00C31BD3" w:rsidRPr="00C25698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2) для металлов, металлосодержащих руд и концентратов металлов, за исключением золота, серебра и платины - 3 процента;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3) для специализированных организаций водоснабжения - 5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4) на гипс - 6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5) на природные камни для производства облицовочных материалов - 12 процентов;</w:t>
            </w:r>
          </w:p>
          <w:p w:rsidR="00E577A7" w:rsidRPr="00C25698" w:rsidRDefault="00E577A7" w:rsidP="0012100C">
            <w:pPr>
              <w:pStyle w:val="tkTekst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b/>
                <w:sz w:val="22"/>
                <w:szCs w:val="22"/>
              </w:rPr>
              <w:t>6) на уголь каменный, бурый - 1 процент.</w:t>
            </w:r>
          </w:p>
          <w:p w:rsidR="00E577A7" w:rsidRPr="00C25698" w:rsidRDefault="00E577A7" w:rsidP="00FA6204">
            <w:pPr>
              <w:pStyle w:val="tkTekst"/>
              <w:spacing w:after="0"/>
              <w:ind w:firstLine="317"/>
              <w:rPr>
                <w:rFonts w:ascii="Times New Roman" w:hAnsi="Times New Roman" w:cs="Times New Roman"/>
                <w:sz w:val="22"/>
                <w:szCs w:val="22"/>
              </w:rPr>
            </w:pPr>
            <w:r w:rsidRPr="00C25698">
              <w:rPr>
                <w:rFonts w:ascii="Times New Roman" w:hAnsi="Times New Roman" w:cs="Times New Roman"/>
                <w:sz w:val="22"/>
                <w:szCs w:val="22"/>
              </w:rPr>
              <w:t xml:space="preserve">3. Ставка роялти на реализованные полезные ископаемые или </w:t>
            </w:r>
            <w:r w:rsidR="00FA6204" w:rsidRPr="00C2569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56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продукты их переработки, не предусмотренная частями 1 и 2 настоящей статьи, устанавливается в размере 3 процентов от налоговой базы, исчисленной в соответствии с пунктом 1 части 1 </w:t>
            </w:r>
            <w:hyperlink r:id="rId10" w:anchor="st_309" w:history="1">
              <w:r w:rsidRPr="00C25698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статьи 309</w:t>
              </w:r>
            </w:hyperlink>
            <w:r w:rsidRPr="00C25698">
              <w:rPr>
                <w:rFonts w:ascii="Times New Roman" w:hAnsi="Times New Roman" w:cs="Times New Roman"/>
                <w:sz w:val="22"/>
                <w:szCs w:val="22"/>
              </w:rPr>
              <w:t xml:space="preserve"> настоящего Кодекса.</w:t>
            </w:r>
          </w:p>
        </w:tc>
      </w:tr>
    </w:tbl>
    <w:p w:rsidR="008D024C" w:rsidRPr="00C25698" w:rsidRDefault="008D024C" w:rsidP="008D024C">
      <w:pPr>
        <w:tabs>
          <w:tab w:val="left" w:pos="10348"/>
        </w:tabs>
        <w:spacing w:after="0" w:line="240" w:lineRule="auto"/>
        <w:ind w:left="2977"/>
        <w:jc w:val="both"/>
        <w:rPr>
          <w:rFonts w:ascii="Times New Roman" w:hAnsi="Times New Roman" w:cs="Times New Roman"/>
        </w:rPr>
      </w:pPr>
    </w:p>
    <w:p w:rsidR="009A509B" w:rsidRPr="00C25698" w:rsidRDefault="009A509B"/>
    <w:sectPr w:rsidR="009A509B" w:rsidRPr="00C25698" w:rsidSect="003A52FD">
      <w:footerReference w:type="default" r:id="rId11"/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081" w:rsidRDefault="005C5081" w:rsidP="00E87F4A">
      <w:pPr>
        <w:spacing w:after="0" w:line="240" w:lineRule="auto"/>
      </w:pPr>
      <w:r>
        <w:separator/>
      </w:r>
    </w:p>
  </w:endnote>
  <w:endnote w:type="continuationSeparator" w:id="0">
    <w:p w:rsidR="005C5081" w:rsidRDefault="005C5081" w:rsidP="00E8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7969"/>
      <w:docPartObj>
        <w:docPartGallery w:val="Page Numbers (Bottom of Page)"/>
        <w:docPartUnique/>
      </w:docPartObj>
    </w:sdtPr>
    <w:sdtEndPr/>
    <w:sdtContent>
      <w:p w:rsidR="00E87F4A" w:rsidRDefault="00B3415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7EB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87F4A" w:rsidRDefault="00E87F4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081" w:rsidRDefault="005C5081" w:rsidP="00E87F4A">
      <w:pPr>
        <w:spacing w:after="0" w:line="240" w:lineRule="auto"/>
      </w:pPr>
      <w:r>
        <w:separator/>
      </w:r>
    </w:p>
  </w:footnote>
  <w:footnote w:type="continuationSeparator" w:id="0">
    <w:p w:rsidR="005C5081" w:rsidRDefault="005C5081" w:rsidP="00E87F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84DF5"/>
    <w:multiLevelType w:val="hybridMultilevel"/>
    <w:tmpl w:val="B5C27AC8"/>
    <w:lvl w:ilvl="0" w:tplc="041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024C"/>
    <w:rsid w:val="0004536B"/>
    <w:rsid w:val="00053B10"/>
    <w:rsid w:val="0010574A"/>
    <w:rsid w:val="00142F30"/>
    <w:rsid w:val="001535DC"/>
    <w:rsid w:val="001D5CFA"/>
    <w:rsid w:val="00296C26"/>
    <w:rsid w:val="00320A11"/>
    <w:rsid w:val="00324F90"/>
    <w:rsid w:val="00382200"/>
    <w:rsid w:val="003B7039"/>
    <w:rsid w:val="00546B49"/>
    <w:rsid w:val="00560F7B"/>
    <w:rsid w:val="005C5081"/>
    <w:rsid w:val="005E3449"/>
    <w:rsid w:val="00604915"/>
    <w:rsid w:val="00611132"/>
    <w:rsid w:val="00633FE5"/>
    <w:rsid w:val="00673880"/>
    <w:rsid w:val="00681D50"/>
    <w:rsid w:val="00705D5C"/>
    <w:rsid w:val="00722DF9"/>
    <w:rsid w:val="007440D2"/>
    <w:rsid w:val="007462BE"/>
    <w:rsid w:val="00753059"/>
    <w:rsid w:val="00756E6C"/>
    <w:rsid w:val="007A5457"/>
    <w:rsid w:val="00806E70"/>
    <w:rsid w:val="008A2708"/>
    <w:rsid w:val="008A37CD"/>
    <w:rsid w:val="008D024C"/>
    <w:rsid w:val="009336A4"/>
    <w:rsid w:val="00981F53"/>
    <w:rsid w:val="00997EB0"/>
    <w:rsid w:val="009A509B"/>
    <w:rsid w:val="009E7E61"/>
    <w:rsid w:val="00A256AD"/>
    <w:rsid w:val="00A82855"/>
    <w:rsid w:val="00B06AF0"/>
    <w:rsid w:val="00B07BB3"/>
    <w:rsid w:val="00B27F00"/>
    <w:rsid w:val="00B34154"/>
    <w:rsid w:val="00C05986"/>
    <w:rsid w:val="00C17AC6"/>
    <w:rsid w:val="00C25698"/>
    <w:rsid w:val="00C31BD3"/>
    <w:rsid w:val="00CA4701"/>
    <w:rsid w:val="00CC68FD"/>
    <w:rsid w:val="00CD7F22"/>
    <w:rsid w:val="00D36377"/>
    <w:rsid w:val="00D46735"/>
    <w:rsid w:val="00D75A34"/>
    <w:rsid w:val="00DA7184"/>
    <w:rsid w:val="00DC26CD"/>
    <w:rsid w:val="00E577A7"/>
    <w:rsid w:val="00E87F4A"/>
    <w:rsid w:val="00F05B7D"/>
    <w:rsid w:val="00F268CF"/>
    <w:rsid w:val="00F366EE"/>
    <w:rsid w:val="00F50777"/>
    <w:rsid w:val="00FA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24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kTekst">
    <w:name w:val="_Текст обычный (tkTekst)"/>
    <w:basedOn w:val="a"/>
    <w:rsid w:val="008D024C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link w:val="a5"/>
    <w:uiPriority w:val="34"/>
    <w:qFormat/>
    <w:rsid w:val="008D024C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kZagolovok5">
    <w:name w:val="_Заголовок Статья (tkZagolovok5)"/>
    <w:basedOn w:val="a"/>
    <w:rsid w:val="008D024C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</w:rPr>
  </w:style>
  <w:style w:type="character" w:styleId="a6">
    <w:name w:val="Hyperlink"/>
    <w:basedOn w:val="a0"/>
    <w:uiPriority w:val="99"/>
    <w:unhideWhenUsed/>
    <w:rsid w:val="008D024C"/>
    <w:rPr>
      <w:color w:val="0000FF"/>
      <w:u w:val="single"/>
    </w:rPr>
  </w:style>
  <w:style w:type="character" w:customStyle="1" w:styleId="a5">
    <w:name w:val="Абзац списка Знак"/>
    <w:basedOn w:val="a0"/>
    <w:link w:val="a4"/>
    <w:uiPriority w:val="34"/>
    <w:locked/>
    <w:rsid w:val="008D024C"/>
    <w:rPr>
      <w:rFonts w:ascii="Calibri" w:eastAsia="Calibri" w:hAnsi="Calibri" w:cs="Times New Roman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87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87F4A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E87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7F4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file:///C:\Users\meiman\AppData\Local\Temp\Toktom\fee8a1b4-19fb-48b1-ae14-18049f242e2e\document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meiman\AppData\Local\Temp\Toktom\fee8a1b4-19fb-48b1-ae14-18049f242e2e\documen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30CC-AFC5-48D4-901D-02EB4560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6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2020-05-14T07:23:00Z</cp:lastPrinted>
  <dcterms:created xsi:type="dcterms:W3CDTF">2020-05-05T05:40:00Z</dcterms:created>
  <dcterms:modified xsi:type="dcterms:W3CDTF">2020-06-10T13:03:00Z</dcterms:modified>
</cp:coreProperties>
</file>